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B028BF" w14:textId="77777777" w:rsidR="009442FE" w:rsidRDefault="00000000">
      <w:pPr>
        <w:spacing w:after="120"/>
      </w:pPr>
      <w:r>
        <w:rPr>
          <w:rFonts w:ascii="Arial" w:eastAsia="Arial" w:hAnsi="Arial" w:cs="Arial"/>
          <w:b/>
          <w:bCs/>
          <w:color w:val="C0552A"/>
          <w:spacing w:val="40"/>
          <w:sz w:val="16"/>
          <w:szCs w:val="16"/>
        </w:rPr>
        <w:t>TECHNOLOGY STRATEGY  ·  SEVENTH WAVE INSIGHTS</w:t>
      </w:r>
      <w:proofErr w:type="gramStart"/>
      <w:r>
        <w:rPr>
          <w:rFonts w:ascii="Arial" w:eastAsia="Arial" w:hAnsi="Arial" w:cs="Arial"/>
          <w:b/>
          <w:bCs/>
          <w:color w:val="C0552A"/>
          <w:spacing w:val="40"/>
          <w:sz w:val="16"/>
          <w:szCs w:val="16"/>
        </w:rPr>
      </w:r>
      <w:proofErr w:type="gramEnd"/>
      <w:r>
        <w:rPr>
          <w:rFonts w:ascii="Arial" w:eastAsia="Arial" w:hAnsi="Arial" w:cs="Arial"/>
          <w:b/>
          <w:bCs/>
          <w:color w:val="C0552A"/>
          <w:spacing w:val="40"/>
          <w:sz w:val="16"/>
          <w:szCs w:val="16"/>
        </w:rPr>
      </w:r>
    </w:p>
    <w:p w14:paraId="0917EC8D" w14:textId="77777777" w:rsidR="009442FE" w:rsidRDefault="00000000">
      <w:pPr>
        <w:pStyle w:val="Heading1"/>
        <w:spacing w:after="100"/>
      </w:pPr>
      <w:r>
        <w:t>You Can't Manage What You Can't See</w:t>
      </w:r>
    </w:p>
    <w:p w14:paraId="75DA836F" w14:textId="77777777" w:rsidR="009442FE" w:rsidRDefault="00000000">
      <w:pPr>
        <w:spacing w:after="160"/>
      </w:pPr>
      <w:r>
        <w:rPr>
          <w:rFonts w:ascii="Arial" w:eastAsia="Arial" w:hAnsi="Arial" w:cs="Arial"/>
          <w:i/>
          <w:iCs/>
          <w:color w:val="4A6A8A"/>
          <w:sz w:val="28"/>
          <w:szCs w:val="28"/>
        </w:rPr>
        <w:t>The Case for Technology Cartography™ as a Framework for Smarter IT Investment</w:t>
      </w:r>
    </w:p>
    <w:p w14:paraId="5AF12B97" w14:textId="77777777" w:rsidR="009442FE" w:rsidRDefault="00000000">
      <w:pPr>
        <w:spacing w:after="40"/>
      </w:pPr>
      <w:r>
        <w:rPr>
          <w:rFonts w:ascii="Arial" w:eastAsia="Arial" w:hAnsi="Arial" w:cs="Arial"/>
          <w:b/>
          <w:bCs/>
          <w:color w:val="1A2A4A"/>
          <w:sz w:val="20"/>
          <w:szCs w:val="20"/>
        </w:rPr>
        <w:t>By Steve Gordon, Seventh Wave Consulting</w:t>
      </w:r>
      <w:proofErr w:type="gramStart"/>
      <w:r>
        <w:rPr>
          <w:rFonts w:ascii="Arial" w:eastAsia="Arial" w:hAnsi="Arial" w:cs="Arial"/>
          <w:b/>
          <w:bCs/>
          <w:color w:val="1A2A4A"/>
          <w:sz w:val="20"/>
          <w:szCs w:val="20"/>
        </w:rPr>
      </w:r>
      <w:r>
        <w:rPr>
          <w:rFonts w:ascii="Arial" w:eastAsia="Arial" w:hAnsi="Arial" w:cs="Arial"/>
          <w:color w:val="4A6A8A"/>
          <w:sz w:val="20"/>
          <w:szCs w:val="20"/>
        </w:rPr>
      </w:r>
      <w:proofErr w:type="gramEnd"/>
      <w:r>
        <w:rPr>
          <w:rFonts w:ascii="Arial" w:eastAsia="Arial" w:hAnsi="Arial" w:cs="Arial"/>
          <w:color w:val="4A6A8A"/>
          <w:sz w:val="20"/>
          <w:szCs w:val="20"/>
        </w:rPr>
      </w:r>
      <w:proofErr w:type="gramStart"/>
      <w:r>
        <w:rPr>
          <w:rFonts w:ascii="Arial" w:eastAsia="Arial" w:hAnsi="Arial" w:cs="Arial"/>
          <w:color w:val="4A6A8A"/>
          <w:sz w:val="20"/>
          <w:szCs w:val="20"/>
        </w:rPr>
      </w:r>
      <w:proofErr w:type="gramEnd"/>
      <w:r>
        <w:rPr>
          <w:rFonts w:ascii="Arial" w:eastAsia="Arial" w:hAnsi="Arial" w:cs="Arial"/>
          <w:color w:val="4A6A8A"/>
          <w:sz w:val="20"/>
          <w:szCs w:val="20"/>
        </w:rPr>
      </w:r>
    </w:p>
    <w:p w14:paraId="712219D7" w14:textId="77777777" w:rsidR="009442FE" w:rsidRDefault="009442FE">
      <w:pPr>
        <w:pBdr>
          <w:bottom w:val="single" w:sz="6" w:space="1" w:color="C0552A"/>
        </w:pBdr>
        <w:spacing w:before="40" w:after="200"/>
      </w:pPr>
    </w:p>
    <w:p w14:paraId="44465314" w14:textId="77777777" w:rsidR="009442FE" w:rsidRDefault="00000000">
      <w:pPr>
        <w:spacing w:before="120" w:after="120"/>
      </w:pPr>
      <w:r>
        <w:rPr>
          <w:color w:val="2A3A4A"/>
        </w:rPr>
        <w:t xml:space="preserve">Ask any senior IT leader how much their organization spends on technology each year and you'll get one of two answers. Either a number stated with surprising confidence — or a long pause followed by something like </w:t>
      </w:r>
      <w:r>
        <w:rPr>
          <w:i/>
          <w:iCs/>
          <w:color w:val="4A6A8A"/>
        </w:rPr>
        <w:t>"well, it depends on how you count it."</w:t>
      </w:r>
    </w:p>
    <w:p w14:paraId="58EDF769" w14:textId="77777777" w:rsidR="009442FE" w:rsidRDefault="00000000">
      <w:pPr>
        <w:spacing w:before="120" w:after="120"/>
      </w:pPr>
      <w:r>
        <w:rPr>
          <w:color w:val="2A3A4A"/>
        </w:rPr>
        <w:t xml:space="preserve">That pause is worth paying attention to. Because in most organizations, the honest answer </w:t>
      </w:r>
      <w:proofErr w:type="gramStart"/>
      <w:r>
        <w:rPr>
          <w:color w:val="2A3A4A"/>
        </w:rPr>
        <w:t>is:</w:t>
      </w:r>
      <w:proofErr w:type="gramEnd"/>
      <w:r>
        <w:rPr>
          <w:color w:val="2A3A4A"/>
        </w:rPr>
        <w:t xml:space="preserve"> nobody really knows.</w:t>
      </w:r>
    </w:p>
    <w:p w14:paraId="3C396C7C" w14:textId="77777777" w:rsidR="009442FE" w:rsidRDefault="00000000">
      <w:pPr>
        <w:spacing w:before="120" w:after="120"/>
      </w:pPr>
      <w:r>
        <w:rPr>
          <w:color w:val="2A3A4A"/>
        </w:rPr>
        <w:t>Not completely. Not accurately. Not in a way that connects every system, every contract, every cloud subscription, and every integration dependency into a single coherent picture. The tools exist in silos. The budgets live in spreadsheets owned by different departments. The contracts were signed by people who may no longer work there. And somewhere in the middle of all of it, critical business decisions are being made — about what to build, what to replace, what to keep — without a reliable map of the terrain.</w:t>
      </w:r>
    </w:p>
    <w:p w14:paraId="020395C3" w14:textId="77777777" w:rsidR="009442FE" w:rsidRDefault="00000000">
      <w:pPr>
        <w:spacing w:before="120" w:after="120"/>
      </w:pPr>
      <w:r>
        <w:rPr>
          <w:b/>
          <w:bCs/>
          <w:color w:val="C0552A"/>
        </w:rPr>
        <w:t>That's the problem Technology Cartography™ was built to solve.</w:t>
      </w:r>
    </w:p>
    <w:p w14:paraId="5E94FC9B" w14:textId="77777777" w:rsidR="009442FE" w:rsidRDefault="009442FE">
      <w:pPr>
        <w:spacing w:before="80"/>
      </w:pPr>
    </w:p>
    <w:p w14:paraId="14ABAAF1" w14:textId="77777777" w:rsidR="009442FE" w:rsidRDefault="00000000">
      <w:pPr>
        <w:keepNext/>
        <w:pBdr>
          <w:bottom w:val="single" w:sz="4" w:space="4" w:color="D0DCE8"/>
        </w:pBdr>
        <w:spacing w:before="320" w:after="100"/>
      </w:pPr>
      <w:r>
        <w:rPr>
          <w:rFonts w:ascii="Arial" w:eastAsia="Arial" w:hAnsi="Arial" w:cs="Arial"/>
          <w:b/>
          <w:bCs/>
          <w:color w:val="1A2A4A"/>
          <w:sz w:val="26"/>
          <w:szCs w:val="26"/>
        </w:rPr>
        <w:t>What Is Technology Cartography™?</w:t>
      </w:r>
    </w:p>
    <w:p w14:paraId="18C9A7DC" w14:textId="77777777" w:rsidR="009442FE" w:rsidRDefault="00000000">
      <w:pPr>
        <w:spacing w:before="120" w:after="120"/>
      </w:pPr>
      <w:r>
        <w:rPr>
          <w:color w:val="2A3A4A"/>
        </w:rPr>
        <w:t>The name is intentional. Cartography — the science and art of mapmaking — is exactly what's missing from most organizations' approach to their technology investments. I come to this framing honestly: my academic background is in Geography and Urban Planning, fields that are fundamentally about understanding complex systems by mapping them. The insight that drives those disciplines — that you cannot manage, plan, or improve a landscape you haven't first accurately charted — translates directly to how most organizations fail to manage their technology investments. They have inventories. They have asset registers. They have vendor lists. But an inventory is not a map.</w:t>
      </w:r>
    </w:p>
    <w:p w14:paraId="0B396144" w14:textId="6A399B8F" w:rsidR="009442FE" w:rsidRDefault="00000000">
      <w:pPr>
        <w:spacing w:before="120" w:after="120"/>
      </w:pPr>
      <w:r>
        <w:rPr>
          <w:color w:val="2A3A4A"/>
        </w:rPr>
        <w:t xml:space="preserve">A map shows you </w:t>
      </w:r>
      <w:r>
        <w:rPr>
          <w:b/>
          <w:bCs/>
          <w:color w:val="1A2A4A"/>
        </w:rPr>
        <w:t>relationships</w:t>
      </w:r>
      <w:r>
        <w:rPr>
          <w:color w:val="2A3A4A"/>
        </w:rPr>
        <w:t xml:space="preserve">. It shows you what's connected to what, what's upstream and downstream, what would fail if a single system went dark, and — critically — what the whole thing is </w:t>
      </w:r>
      <w:r w:rsidR="0004709A">
        <w:rPr>
          <w:color w:val="2A3A4A"/>
        </w:rPr>
        <w:t>costing</w:t>
      </w:r>
      <w:r>
        <w:rPr>
          <w:color w:val="2A3A4A"/>
        </w:rPr>
        <w:t xml:space="preserve"> you.</w:t>
      </w:r>
    </w:p>
    <w:p w14:paraId="335525FA" w14:textId="25F15A15" w:rsidR="009442FE" w:rsidRDefault="00000000">
      <w:pPr>
        <w:spacing w:before="120" w:after="120"/>
      </w:pPr>
      <w:r>
        <w:rPr>
          <w:color w:val="2A3A4A"/>
        </w:rPr>
        <w:t>Technology Cartography™ is the methodology I built for creating that map. It organizes an organization's technology landscape into five distinct layers — Customer, Operations, Analytics, AI Strategy, and Governance — and maps every significant system, its cost, its interdependencies, and its relative health. The result isn't a slide deck. It's a navigational tool that leadership teams can use to make smarter decisions about where to invest, where to cut, and where the hidden risks are buried.</w:t>
      </w:r>
      <w:proofErr w:type="spellStart"/>
      <w:r>
        <w:rPr>
          <w:color w:val="2A3A4A"/>
        </w:rPr>
      </w:r>
      <w:proofErr w:type="spellEnd"/>
      <w:r>
        <w:rPr>
          <w:color w:val="2A3A4A"/>
        </w:rPr>
      </w:r>
      <w:r w:rsidR="0004709A">
        <w:rPr>
          <w:color w:val="2A3A4A"/>
        </w:rPr>
      </w:r>
      <w:r>
        <w:rPr>
          <w:color w:val="2A3A4A"/>
        </w:rPr>
      </w:r>
    </w:p>
    <w:p w14:paraId="649EAB1B" w14:textId="77777777" w:rsidR="009442FE" w:rsidRDefault="009442FE">
      <w:pPr>
        <w:spacing w:before="120"/>
      </w:pPr>
    </w:p>
    <w:p w14:paraId="361708FF" w14:textId="77777777" w:rsidR="009442FE" w:rsidRDefault="00000000">
      <w:pPr>
        <w:spacing w:before="80"/>
        <w:jc w:val="center"/>
      </w:pPr>
      <w:r>
        <w:rPr>
          <w:noProof/>
        </w:rPr>
        <w:drawing>
          <wp:inline distT="0" distB="0" distL="0" distR="0" wp14:anchorId="1A82EAF3" wp14:editId="2B7C248D">
            <wp:extent cx="5905500" cy="3324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905500" cy="3324225"/>
                    </a:xfrm>
                    <a:prstGeom prst="rect">
                      <a:avLst/>
                    </a:prstGeom>
                  </pic:spPr>
                </pic:pic>
              </a:graphicData>
            </a:graphic>
          </wp:inline>
        </w:drawing>
      </w:r>
    </w:p>
    <w:p w14:paraId="2CC0DE7A" w14:textId="77777777" w:rsidR="009442FE" w:rsidRDefault="00000000">
      <w:pPr>
        <w:pBdr>
          <w:bottom w:val="single" w:sz="2" w:space="4" w:color="E0E8F0"/>
        </w:pBdr>
        <w:spacing w:before="80" w:after="200"/>
        <w:jc w:val="center"/>
      </w:pPr>
      <w:r>
        <w:rPr>
          <w:rFonts w:ascii="Arial" w:eastAsia="Arial" w:hAnsi="Arial" w:cs="Arial"/>
          <w:i/>
          <w:iCs/>
          <w:color w:val="4A6A8A"/>
          <w:sz w:val="18"/>
          <w:szCs w:val="18"/>
        </w:rPr>
        <w:t>A sample Technology Cartography™ map for a mid-market organization — mapping systems, costs, AI integration, and interdependencies across five layers. Total mapped annual spend: ~$1.08M.</w:t>
      </w:r>
      <w:proofErr w:type="gramStart"/>
      <w:r>
        <w:rPr>
          <w:rFonts w:ascii="Arial" w:eastAsia="Arial" w:hAnsi="Arial" w:cs="Arial"/>
          <w:i/>
          <w:iCs/>
          <w:color w:val="4A6A8A"/>
          <w:sz w:val="18"/>
          <w:szCs w:val="18"/>
        </w:rPr>
      </w:r>
      <w:proofErr w:type="gramEnd"/>
      <w:r>
        <w:rPr>
          <w:rFonts w:ascii="Arial" w:eastAsia="Arial" w:hAnsi="Arial" w:cs="Arial"/>
          <w:i/>
          <w:iCs/>
          <w:color w:val="4A6A8A"/>
          <w:sz w:val="18"/>
          <w:szCs w:val="18"/>
        </w:rPr>
      </w:r>
    </w:p>
    <w:p w14:paraId="7E23BEDD" w14:textId="77777777" w:rsidR="009442FE" w:rsidRDefault="009442FE">
      <w:pPr>
        <w:spacing w:before="80"/>
      </w:pPr>
    </w:p>
    <w:p w14:paraId="3C5E2E9A" w14:textId="77777777" w:rsidR="009442FE" w:rsidRDefault="00000000">
      <w:pPr>
        <w:keepNext/>
        <w:pBdr>
          <w:bottom w:val="single" w:sz="4" w:space="4" w:color="D0DCE8"/>
        </w:pBdr>
        <w:spacing w:before="320" w:after="100"/>
      </w:pPr>
      <w:r>
        <w:rPr>
          <w:rFonts w:ascii="Arial" w:eastAsia="Arial" w:hAnsi="Arial" w:cs="Arial"/>
          <w:b/>
          <w:bCs/>
          <w:color w:val="1A2A4A"/>
          <w:sz w:val="26"/>
          <w:szCs w:val="26"/>
        </w:rPr>
        <w:t>Why This Matters More Than Ever</w:t>
      </w:r>
    </w:p>
    <w:p w14:paraId="042EAFA1" w14:textId="77777777" w:rsidR="009442FE" w:rsidRDefault="00000000">
      <w:pPr>
        <w:spacing w:before="120" w:after="120"/>
      </w:pPr>
      <w:r>
        <w:rPr>
          <w:color w:val="2A3A4A"/>
        </w:rPr>
        <w:t xml:space="preserve">For most of the last decade, technology spending grew fast enough that the lack of visibility was easy to overlook. Cloud contracts </w:t>
      </w:r>
      <w:proofErr w:type="gramStart"/>
      <w:r>
        <w:rPr>
          <w:color w:val="2A3A4A"/>
        </w:rPr>
        <w:t>auto-renewed</w:t>
      </w:r>
      <w:proofErr w:type="gramEnd"/>
      <w:r>
        <w:rPr>
          <w:color w:val="2A3A4A"/>
        </w:rPr>
        <w:t>. New SaaS tools proliferated. AI features got bundled into existing subscriptions. Nobody had time to stop and ask whether all of it was working together — or whether the collective sum of those individual decisions made any strategic sense.</w:t>
      </w:r>
    </w:p>
    <w:p w14:paraId="0E145343" w14:textId="77777777" w:rsidR="009442FE" w:rsidRDefault="00000000">
      <w:pPr>
        <w:spacing w:before="120" w:after="120"/>
      </w:pPr>
      <w:r>
        <w:rPr>
          <w:color w:val="2A3A4A"/>
        </w:rPr>
        <w:t>That era is ending. Economic pressure, tighter budgets, and the explosion of AI-related spending have forced a reckoning in boardrooms and finance committees that weren't asking hard questions about IT a few years ago. Suddenly, "what are we spending and what are we getting for it?" is no longer just an IT question. It's a business question. And most organizations aren't equipped to answer it well.</w:t>
      </w:r>
    </w:p>
    <w:p w14:paraId="3CCAE56A" w14:textId="77777777" w:rsidR="009442FE" w:rsidRDefault="00000000">
      <w:pPr>
        <w:spacing w:before="120" w:after="120"/>
      </w:pPr>
      <w:r>
        <w:rPr>
          <w:color w:val="2A3A4A"/>
        </w:rPr>
        <w:t>When you map your technology landscape properly — by layer, by actual cost, by integration dependency — three things consistently happen.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
        <w:gridCol w:w="9000"/>
      </w:tblGrid>
      <w:tr w:rsidR="009442FE" w14:paraId="078C7D4F" w14:textId="77777777">
        <w:tblPrEx>
          <w:tblCellMar>
            <w:top w:w="0" w:type="dxa"/>
            <w:bottom w:w="0" w:type="dxa"/>
          </w:tblCellMar>
        </w:tblPrEx>
        <w:tc>
          <w:tcPr>
            <w:tcW w:w="360" w:type="dxa"/>
            <w:tcBorders>
              <w:top w:val="none" w:sz="0" w:space="0" w:color="FFFFFF"/>
              <w:left w:val="none" w:sz="0" w:space="0" w:color="FFFFFF"/>
              <w:bottom w:val="none" w:sz="0" w:space="0" w:color="FFFFFF"/>
              <w:right w:val="none" w:sz="0" w:space="0" w:color="FFFFFF"/>
            </w:tcBorders>
            <w:shd w:val="clear" w:color="auto" w:fill="C0552A"/>
          </w:tcPr>
          <w:p w14:paraId="4ECFF690" w14:textId="77777777" w:rsidR="009442FE" w:rsidRDefault="009442FE"/>
        </w:tc>
        <w:tc>
          <w:tcPr>
            <w:tcW w:w="9000" w:type="dxa"/>
            <w:tcBorders>
              <w:top w:val="none" w:sz="0" w:space="0" w:color="FFFFFF"/>
              <w:left w:val="none" w:sz="0" w:space="0" w:color="FFFFFF"/>
              <w:bottom w:val="none" w:sz="0" w:space="0" w:color="FFFFFF"/>
              <w:right w:val="none" w:sz="0" w:space="0" w:color="FFFFFF"/>
            </w:tcBorders>
            <w:shd w:val="clear" w:color="auto" w:fill="EBF2FA"/>
            <w:tcMar>
              <w:top w:w="160" w:type="dxa"/>
              <w:left w:w="240" w:type="dxa"/>
              <w:bottom w:w="160" w:type="dxa"/>
              <w:right w:w="240" w:type="dxa"/>
            </w:tcMar>
          </w:tcPr>
          <w:p w14:paraId="1B32D119" w14:textId="77777777" w:rsidR="009442FE" w:rsidRDefault="00000000">
            <w:pPr>
              <w:spacing w:before="40" w:after="40"/>
            </w:pPr>
            <w:r>
              <w:rPr>
                <w:b/>
                <w:bCs/>
                <w:i/>
                <w:iCs/>
                <w:color w:val="1A2A4A"/>
              </w:rPr>
              <w:t>In our experience, mid-market organizations typically have 15–25% of their technology spend sitting in systems that are either underutilized or duplicative. At enterprise scale, that number can represent millions of dollars in recoverable budget.</w:t>
            </w:r>
          </w:p>
        </w:tc>
      </w:tr>
    </w:tbl>
    <w:p w14:paraId="33AFEF48" w14:textId="77777777" w:rsidR="009442FE" w:rsidRDefault="009442FE">
      <w:pPr>
        <w:spacing w:before="120"/>
      </w:pPr>
    </w:p>
    <w:p w14:paraId="7F7B5DBE" w14:textId="77777777" w:rsidR="009442FE" w:rsidRDefault="00000000">
      <w:pPr>
        <w:spacing w:before="120" w:after="120"/>
      </w:pPr>
      <w:r>
        <w:rPr>
          <w:b/>
          <w:bCs/>
          <w:color w:val="1A2A4A"/>
        </w:rPr>
        <w:t xml:space="preserve">First, you find money you didn't know you were spending.  </w:t>
      </w:r>
      <w:r>
        <w:rPr>
          <w:color w:val="2A3A4A"/>
        </w:rPr>
        <w:t>Redundant tools. Overlapping capabilities. Licenses nobody is using. In our experience, mid-market organizations typically have 15–25% of their technology spend sitting in systems that are either underutilized or duplicative. At enterprise scale, that number can represent millions of dollars in recoverable budget.</w:t>
      </w:r>
    </w:p>
    <w:p w14:paraId="3AC831E4" w14:textId="77777777" w:rsidR="009442FE" w:rsidRDefault="00000000">
      <w:pPr>
        <w:spacing w:before="120" w:after="120"/>
      </w:pPr>
      <w:r>
        <w:rPr>
          <w:b/>
          <w:bCs/>
          <w:color w:val="1A2A4A"/>
        </w:rPr>
        <w:t xml:space="preserve">Second, you find risk you didn't know you were carrying.  </w:t>
      </w:r>
      <w:r>
        <w:rPr>
          <w:color w:val="2A3A4A"/>
        </w:rPr>
        <w:t xml:space="preserve">Single points of failure. Systems that dozens of downstream processes depend on but that haven't been meaningfully updated in years. Governance gaps where data is moving across systems with no clear ownership or compliance framework. These risks don't announce themselves — you </w:t>
      </w:r>
      <w:proofErr w:type="gramStart"/>
      <w:r>
        <w:rPr>
          <w:color w:val="2A3A4A"/>
        </w:rPr>
        <w:t>have to</w:t>
      </w:r>
      <w:proofErr w:type="gramEnd"/>
      <w:r>
        <w:rPr>
          <w:color w:val="2A3A4A"/>
        </w:rPr>
        <w:t xml:space="preserve"> map your way to them.</w:t>
      </w:r>
    </w:p>
    <w:p w14:paraId="2D2ED903" w14:textId="77777777" w:rsidR="009442FE" w:rsidRDefault="00000000">
      <w:pPr>
        <w:spacing w:before="120" w:after="120"/>
      </w:pPr>
      <w:r>
        <w:rPr>
          <w:b/>
          <w:bCs/>
          <w:color w:val="1A2A4A"/>
        </w:rPr>
        <w:t xml:space="preserve">Third, you create a shared language for decisions that previously happened in isolation.  </w:t>
      </w:r>
      <w:r>
        <w:rPr>
          <w:color w:val="2A3A4A"/>
        </w:rPr>
        <w:t>When the CFO, CTO, and business unit leaders are all looking at the same map, they stop arguing from their own partial views of the landscape and start making decisions from a common picture of reality. That alignment alone tends to pay for the exercise.</w:t>
      </w:r>
    </w:p>
    <w:p w14:paraId="7948121E" w14:textId="77777777" w:rsidR="009442FE" w:rsidRDefault="009442FE">
      <w:pPr>
        <w:spacing w:before="80"/>
      </w:pPr>
    </w:p>
    <w:p w14:paraId="5CEBF46B" w14:textId="77777777" w:rsidR="009442FE" w:rsidRDefault="00000000">
      <w:pPr>
        <w:keepNext/>
        <w:pBdr>
          <w:bottom w:val="single" w:sz="4" w:space="4" w:color="D0DCE8"/>
        </w:pBdr>
        <w:spacing w:before="320" w:after="100"/>
      </w:pPr>
      <w:r>
        <w:rPr>
          <w:rFonts w:ascii="Arial" w:eastAsia="Arial" w:hAnsi="Arial" w:cs="Arial"/>
          <w:b/>
          <w:bCs/>
          <w:color w:val="1A2A4A"/>
          <w:sz w:val="26"/>
          <w:szCs w:val="26"/>
        </w:rPr>
        <w:t>The AI Dimension</w:t>
      </w:r>
    </w:p>
    <w:p w14:paraId="630C9FE2" w14:textId="77777777" w:rsidR="009442FE" w:rsidRDefault="00000000">
      <w:pPr>
        <w:spacing w:before="120" w:after="120"/>
      </w:pPr>
      <w:r>
        <w:rPr>
          <w:color w:val="2A3A4A"/>
        </w:rPr>
        <w:t>There's a fourth thing worth naming — one that's becoming impossible to ignore. AI is now woven into nearly every layer of the technology stack, often in ways that aren't visible, aren't governed, and aren't tracked.</w:t>
      </w:r>
    </w:p>
    <w:p w14:paraId="765E9A55" w14:textId="77777777" w:rsidR="009442FE" w:rsidRDefault="00000000">
      <w:pPr>
        <w:spacing w:before="120" w:after="120"/>
      </w:pPr>
      <w:r>
        <w:rPr>
          <w:color w:val="2A3A4A"/>
        </w:rPr>
        <w:t>At smaller organizations, employees are individually subscribing to AI productivity tools — ChatGPT, Copilot, Grammarly — with no central policy and no budget accountability. At mid-market scale, AI features are embedded in CRM, data warehouse, and HR platforms that were purchased for entirely different reasons. At the enterprise level, AI is a significant investment consuming hundreds of thousands to millions of dollars annually, often without a governance framework proportionate to the spend or the risk.</w:t>
      </w:r>
    </w:p>
    <w:p w14:paraId="2653AB09" w14:textId="77777777" w:rsidR="009442FE" w:rsidRDefault="00000000">
      <w:pPr>
        <w:spacing w:before="120" w:after="120"/>
      </w:pPr>
      <w:r>
        <w:rPr>
          <w:color w:val="2A3A4A"/>
        </w:rPr>
        <w:t>A well-constructed technology map surfaces all of this. It makes the AI layer visible — which tools are active, which are ungoverned, which are delivering measurable value, and which are simply adding to the noise. The map in the illustration above includes AI Strategy as its own layer for exactly this reason: because in 2025, any technology map that doesn't account for AI is already incomplete.</w:t>
      </w:r>
    </w:p>
    <w:p w14:paraId="72D5515B" w14:textId="77777777" w:rsidR="009442FE" w:rsidRDefault="009442FE">
      <w:pPr>
        <w:spacing w:before="80"/>
      </w:pPr>
    </w:p>
    <w:p w14:paraId="7C9F0F22" w14:textId="77777777" w:rsidR="009442FE" w:rsidRDefault="00000000">
      <w:pPr>
        <w:keepNext/>
        <w:pBdr>
          <w:bottom w:val="single" w:sz="4" w:space="4" w:color="D0DCE8"/>
        </w:pBdr>
        <w:spacing w:before="320" w:after="100"/>
      </w:pPr>
      <w:r>
        <w:rPr>
          <w:rFonts w:ascii="Arial" w:eastAsia="Arial" w:hAnsi="Arial" w:cs="Arial"/>
          <w:b/>
          <w:bCs/>
          <w:color w:val="1A2A4A"/>
          <w:sz w:val="26"/>
          <w:szCs w:val="26"/>
        </w:rPr>
        <w:t>The Starting Point</w:t>
      </w:r>
    </w:p>
    <w:p w14:paraId="7D148DF3" w14:textId="77777777" w:rsidR="009442FE" w:rsidRDefault="00000000">
      <w:pPr>
        <w:spacing w:before="120" w:after="120"/>
      </w:pPr>
      <w:r>
        <w:rPr>
          <w:color w:val="2A3A4A"/>
        </w:rPr>
        <w:t xml:space="preserve">The biggest barrier to adopting a cartographic approach isn't technical. It's organizational. Someone </w:t>
      </w:r>
      <w:proofErr w:type="gramStart"/>
      <w:r>
        <w:rPr>
          <w:color w:val="2A3A4A"/>
        </w:rPr>
        <w:t>has to</w:t>
      </w:r>
      <w:proofErr w:type="gramEnd"/>
      <w:r>
        <w:rPr>
          <w:color w:val="2A3A4A"/>
        </w:rPr>
        <w:t xml:space="preserve"> own the map — and in most companies, nobody does. IT sees part of it. Finance sees another part. Business units see their own slice. But the whole picture belongs to everyone and therefore to no one.</w:t>
      </w:r>
    </w:p>
    <w:p w14:paraId="18969432" w14:textId="77777777" w:rsidR="009442FE" w:rsidRDefault="00000000">
      <w:pPr>
        <w:spacing w:before="120" w:after="120"/>
      </w:pPr>
      <w:r>
        <w:rPr>
          <w:color w:val="2A3A4A"/>
        </w:rPr>
        <w:t>That's where outside perspective helps. Seventh Wave Consulting brings Technology Cartography™ as a structured engagement — not a years-long project, but a focused effort to build the map, identify the highest-value opportunities, and put the right conversations in front of the right decision-makers.</w:t>
      </w:r>
    </w:p>
    <w:p w14:paraId="63C011D0" w14:textId="77777777" w:rsidR="009442FE" w:rsidRDefault="00000000">
      <w:pPr>
        <w:spacing w:before="120" w:after="120"/>
      </w:pPr>
      <w:r>
        <w:rPr>
          <w:color w:val="2A3A4A"/>
        </w:rPr>
        <w:t xml:space="preserve">The organizations that manage technology well in the next five years won't necessarily be the ones with the biggest budgets or the most sophisticated tools. They'll be the ones that </w:t>
      </w:r>
      <w:proofErr w:type="gramStart"/>
      <w:r>
        <w:rPr>
          <w:color w:val="2A3A4A"/>
        </w:rPr>
        <w:t>actually know</w:t>
      </w:r>
      <w:proofErr w:type="gramEnd"/>
      <w:r>
        <w:rPr>
          <w:color w:val="2A3A4A"/>
        </w:rPr>
        <w:t xml:space="preserve"> what they have — and make intentional decisions about it. </w:t>
      </w:r>
      <w:r>
        <w:rPr>
          <w:b/>
          <w:bCs/>
          <w:color w:val="C0552A"/>
        </w:rPr>
        <w:t>That starts with a map.</w:t>
      </w:r>
    </w:p>
    <w:p w14:paraId="5A78359F" w14:textId="77777777" w:rsidR="009442FE" w:rsidRDefault="009442FE">
      <w:pPr>
        <w:spacing w:before="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9442FE" w14:paraId="1E2112A8" w14:textId="77777777">
        <w:tblPrEx>
          <w:tblCellMar>
            <w:top w:w="0" w:type="dxa"/>
            <w:bottom w:w="0" w:type="dxa"/>
          </w:tblCellMar>
        </w:tblPrEx>
        <w:tc>
          <w:tcPr>
            <w:tcW w:w="9360" w:type="dxa"/>
            <w:tcBorders>
              <w:top w:val="single" w:sz="6" w:space="0" w:color="2B6CB0"/>
              <w:left w:val="none" w:sz="0" w:space="0" w:color="FFFFFF"/>
              <w:bottom w:val="single" w:sz="2" w:space="0" w:color="D0DCE8"/>
              <w:right w:val="none" w:sz="0" w:space="0" w:color="FFFFFF"/>
            </w:tcBorders>
            <w:shd w:val="clear" w:color="auto" w:fill="F0F4F8"/>
            <w:tcMar>
              <w:top w:w="160" w:type="dxa"/>
              <w:left w:w="240" w:type="dxa"/>
              <w:bottom w:w="160" w:type="dxa"/>
              <w:right w:w="240" w:type="dxa"/>
            </w:tcMar>
          </w:tcPr>
          <w:p w14:paraId="50AE0587" w14:textId="77777777" w:rsidR="009442FE" w:rsidRDefault="00000000">
            <w:pPr>
              <w:spacing w:after="80"/>
            </w:pPr>
            <w:r>
              <w:rPr>
                <w:rFonts w:ascii="Arial" w:eastAsia="Arial" w:hAnsi="Arial" w:cs="Arial"/>
                <w:b/>
                <w:bCs/>
                <w:color w:val="2B6CB0"/>
                <w:spacing w:val="20"/>
                <w:sz w:val="20"/>
                <w:szCs w:val="20"/>
              </w:rPr>
              <w:t>About the Author</w:t>
            </w:r>
          </w:p>
          <w:p w14:paraId="3F16F40B" w14:textId="77777777" w:rsidR="009442FE" w:rsidRDefault="00000000">
            <w:pPr>
              <w:spacing w:after="80"/>
            </w:pPr>
            <w:r>
              <w:rPr>
                <w:rFonts w:ascii="Arial" w:eastAsia="Arial" w:hAnsi="Arial" w:cs="Arial"/>
                <w:color w:val="2A3A4A"/>
                <w:sz w:val="20"/>
                <w:szCs w:val="20"/>
              </w:rPr>
              <w:t>Steve Gordon is founder of Seventh Wave Consulting. He holds a B.S. in Geography and a Master's in Planning — disciplines that inform his belief that the most powerful thing you can do with a complex system is map it accurately. With 35+ years of technology leadership experience spanning IBM, Teradata, and AWS, he brings deep fluency in the enterprise analytics ecosystem and the vendor, tool, and buyer dynamics that shape mid-market and enterprise technology decisions. He is a TDWI speaker and the creator of Technology Cartography™.</w:t>
            </w:r>
            <w:proofErr w:type="gramStart"/>
            <w:r>
              <w:rPr>
                <w:rFonts w:ascii="Arial" w:eastAsia="Arial" w:hAnsi="Arial" w:cs="Arial"/>
                <w:color w:val="2A3A4A"/>
                <w:sz w:val="20"/>
                <w:szCs w:val="20"/>
              </w:rPr>
            </w:r>
            <w:proofErr w:type="gramEnd"/>
            <w:r>
              <w:rPr>
                <w:rFonts w:ascii="Arial" w:eastAsia="Arial" w:hAnsi="Arial" w:cs="Arial"/>
                <w:color w:val="2A3A4A"/>
                <w:sz w:val="20"/>
                <w:szCs w:val="20"/>
              </w:rPr>
            </w:r>
          </w:p>
          <w:p w14:paraId="6E9D2854" w14:textId="77777777" w:rsidR="009442FE" w:rsidRDefault="00000000">
            <w:r>
              <w:rPr>
                <w:rFonts w:ascii="Arial" w:eastAsia="Arial" w:hAnsi="Arial" w:cs="Arial"/>
                <w:b/>
                <w:bCs/>
                <w:color w:val="2B6CB0"/>
                <w:sz w:val="20"/>
                <w:szCs w:val="20"/>
              </w:rPr>
              <w:t>seventhwaveconsulting.com</w:t>
            </w:r>
          </w:p>
        </w:tc>
      </w:tr>
    </w:tbl>
    <w:p w14:paraId="75D57F56" w14:textId="77777777" w:rsidR="002C230C" w:rsidRDefault="002C230C"/>
    <w:sectPr w:rsidR="002C230C">
      <w:headerReference w:type="default" r:id="rId8"/>
      <w:footerReference w:type="default" r:id="rId9"/>
      <w:pgSz w:w="12240" w:h="15840"/>
      <w:pgMar w:top="108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3E390" w14:textId="77777777" w:rsidR="002C230C" w:rsidRDefault="002C230C">
      <w:r>
        <w:separator/>
      </w:r>
    </w:p>
  </w:endnote>
  <w:endnote w:type="continuationSeparator" w:id="0">
    <w:p w14:paraId="6BBB44AB" w14:textId="77777777" w:rsidR="002C230C" w:rsidRDefault="002C23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E0F5E" w14:textId="77777777" w:rsidR="009442FE" w:rsidRDefault="00000000">
    <w:pPr>
      <w:pBdr>
        <w:top w:val="single" w:sz="4" w:space="4" w:color="E0E8F0"/>
      </w:pBdr>
      <w:spacing w:before="80"/>
    </w:pPr>
    <w:r>
      <w:rPr>
        <w:rFonts w:ascii="Arial" w:eastAsia="Arial" w:hAnsi="Arial" w:cs="Arial"/>
        <w:color w:val="8899AA"/>
        <w:sz w:val="16"/>
        <w:szCs w:val="16"/>
      </w:rPr>
      <w:t>© Seventh Wave Consulting  ·  Technology Cartography™ is a proprietary methodology of Seventh Wave Consulting</w:t>
    </w:r>
    <w:proofErr w:type="gramStart"/>
    <w:r>
      <w:rPr>
        <w:rFonts w:ascii="Arial" w:eastAsia="Arial" w:hAnsi="Arial" w:cs="Arial"/>
        <w:color w:val="8899AA"/>
        <w:sz w:val="16"/>
        <w:szCs w:val="16"/>
      </w:rPr>
    </w:r>
    <w:proofErr w:type="gramEnd"/>
    <w:r>
      <w:rPr>
        <w:rFonts w:ascii="Arial" w:eastAsia="Arial" w:hAnsi="Arial" w:cs="Arial"/>
        <w:color w:val="8899AA"/>
        <w:sz w:val="16"/>
        <w:szCs w:val="16"/>
      </w:rP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C13B6A" w14:textId="77777777" w:rsidR="002C230C" w:rsidRDefault="002C230C">
      <w:r>
        <w:separator/>
      </w:r>
    </w:p>
  </w:footnote>
  <w:footnote w:type="continuationSeparator" w:id="0">
    <w:p w14:paraId="3D93EB37" w14:textId="77777777" w:rsidR="002C230C" w:rsidRDefault="002C23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B1499" w14:textId="77777777" w:rsidR="009442FE" w:rsidRDefault="00000000">
    <w:pPr>
      <w:pBdr>
        <w:bottom w:val="single" w:sz="4" w:space="4" w:color="E0E8F0"/>
      </w:pBdr>
      <w:tabs>
        <w:tab w:val="right" w:pos="9360"/>
      </w:tabs>
      <w:spacing w:before="80" w:after="80"/>
    </w:pPr>
    <w:r>
      <w:rPr>
        <w:noProof/>
      </w:rPr>
      <w:drawing>
        <wp:inline xmlns:a="http://schemas.openxmlformats.org/drawingml/2006/main" xmlns:pic="http://schemas.openxmlformats.org/drawingml/2006/picture">
          <wp:extent cx="666206" cy="457200"/>
          <wp:docPr id="1" name="Picture 1"/>
          <wp:cNvGraphicFramePr>
            <a:graphicFrameLocks noChangeAspect="1"/>
          </wp:cNvGraphicFramePr>
          <a:graphic>
            <a:graphicData uri="http://schemas.openxmlformats.org/drawingml/2006/picture">
              <pic:pic>
                <pic:nvPicPr>
                  <pic:cNvPr id="0" name="logo_cropped.png"/>
                  <pic:cNvPicPr/>
                </pic:nvPicPr>
                <pic:blipFill>
                  <a:blip r:embed="rId2"/>
                  <a:stretch>
                    <a:fillRect/>
                  </a:stretch>
                </pic:blipFill>
                <pic:spPr>
                  <a:xfrm>
                    <a:off x="0" y="0"/>
                    <a:ext cx="666206" cy="457200"/>
                  </a:xfrm>
                  <a:prstGeom prst="rect"/>
                </pic:spPr>
              </pic:pic>
            </a:graphicData>
          </a:graphic>
        </wp:inline>
      </w:drawing>
    </w:r>
    <w:r>
      <w:rPr>
        <w:rFonts w:ascii="Arial" w:eastAsia="Arial" w:hAnsi="Arial" w:cs="Arial"/>
        <w:color w:val="8899AA"/>
        <w:sz w:val="16"/>
        <w:szCs w:val="16"/>
      </w:rPr>
      <w:tab/>
      <w:t>seventhwaveconsulting.com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B70D4A"/>
    <w:multiLevelType w:val="hybridMultilevel"/>
    <w:tmpl w:val="FCE236AC"/>
    <w:lvl w:ilvl="0" w:tplc="C92C47B2">
      <w:start w:val="1"/>
      <w:numFmt w:val="bullet"/>
      <w:lvlText w:val="●"/>
      <w:lvlJc w:val="left"/>
      <w:pPr>
        <w:ind w:left="720" w:hanging="360"/>
      </w:pPr>
    </w:lvl>
    <w:lvl w:ilvl="1" w:tplc="DE0E7740">
      <w:start w:val="1"/>
      <w:numFmt w:val="bullet"/>
      <w:lvlText w:val="○"/>
      <w:lvlJc w:val="left"/>
      <w:pPr>
        <w:ind w:left="1440" w:hanging="360"/>
      </w:pPr>
    </w:lvl>
    <w:lvl w:ilvl="2" w:tplc="467C8390">
      <w:start w:val="1"/>
      <w:numFmt w:val="bullet"/>
      <w:lvlText w:val="■"/>
      <w:lvlJc w:val="left"/>
      <w:pPr>
        <w:ind w:left="2160" w:hanging="360"/>
      </w:pPr>
    </w:lvl>
    <w:lvl w:ilvl="3" w:tplc="C8D4F420">
      <w:start w:val="1"/>
      <w:numFmt w:val="bullet"/>
      <w:lvlText w:val="●"/>
      <w:lvlJc w:val="left"/>
      <w:pPr>
        <w:ind w:left="2880" w:hanging="360"/>
      </w:pPr>
    </w:lvl>
    <w:lvl w:ilvl="4" w:tplc="2F16AC4A">
      <w:start w:val="1"/>
      <w:numFmt w:val="bullet"/>
      <w:lvlText w:val="○"/>
      <w:lvlJc w:val="left"/>
      <w:pPr>
        <w:ind w:left="3600" w:hanging="360"/>
      </w:pPr>
    </w:lvl>
    <w:lvl w:ilvl="5" w:tplc="33BE8164">
      <w:start w:val="1"/>
      <w:numFmt w:val="bullet"/>
      <w:lvlText w:val="■"/>
      <w:lvlJc w:val="left"/>
      <w:pPr>
        <w:ind w:left="4320" w:hanging="360"/>
      </w:pPr>
    </w:lvl>
    <w:lvl w:ilvl="6" w:tplc="616A7E3E">
      <w:start w:val="1"/>
      <w:numFmt w:val="bullet"/>
      <w:lvlText w:val="●"/>
      <w:lvlJc w:val="left"/>
      <w:pPr>
        <w:ind w:left="5040" w:hanging="360"/>
      </w:pPr>
    </w:lvl>
    <w:lvl w:ilvl="7" w:tplc="7E8A068C">
      <w:start w:val="1"/>
      <w:numFmt w:val="bullet"/>
      <w:lvlText w:val="●"/>
      <w:lvlJc w:val="left"/>
      <w:pPr>
        <w:ind w:left="5760" w:hanging="360"/>
      </w:pPr>
    </w:lvl>
    <w:lvl w:ilvl="8" w:tplc="A8D0BD58">
      <w:start w:val="1"/>
      <w:numFmt w:val="bullet"/>
      <w:lvlText w:val="●"/>
      <w:lvlJc w:val="left"/>
      <w:pPr>
        <w:ind w:left="6480" w:hanging="360"/>
      </w:pPr>
    </w:lvl>
  </w:abstractNum>
  <w:num w:numId="1" w16cid:durableId="155106694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7"/>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42FE"/>
    <w:rsid w:val="0004709A"/>
    <w:rsid w:val="001529F4"/>
    <w:rsid w:val="002C230C"/>
    <w:rsid w:val="00741963"/>
    <w:rsid w:val="009442FE"/>
    <w:rsid w:val="00B110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1D53749"/>
  <w15:docId w15:val="{486F59E4-A4EE-8047-9717-EDD44476F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Georgia" w:hAnsi="Georgia" w:cs="Georgia"/>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after="160"/>
      <w:outlineLvl w:val="0"/>
    </w:pPr>
    <w:rPr>
      <w:rFonts w:ascii="Arial" w:eastAsia="Arial" w:hAnsi="Arial" w:cs="Arial"/>
      <w:b/>
      <w:bCs/>
      <w:color w:val="1A2A4A"/>
      <w:sz w:val="44"/>
      <w:szCs w:val="44"/>
    </w:rPr>
  </w:style>
  <w:style w:type="paragraph" w:styleId="Heading2">
    <w:name w:val="heading 2"/>
    <w:uiPriority w:val="9"/>
    <w:semiHidden/>
    <w:unhideWhenUsed/>
    <w:qFormat/>
    <w:pPr>
      <w:spacing w:before="320" w:after="100"/>
      <w:outlineLvl w:val="1"/>
    </w:pPr>
    <w:rPr>
      <w:rFonts w:ascii="Arial" w:eastAsia="Arial" w:hAnsi="Arial" w:cs="Arial"/>
      <w:b/>
      <w:bCs/>
      <w:color w:val="1A2A4A"/>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1196</Words>
  <Characters>6520</Characters>
  <Application>Microsoft Office Word</Application>
  <DocSecurity>0</DocSecurity>
  <Lines>120</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Steve Gordon</cp:lastModifiedBy>
  <cp:revision>3</cp:revision>
  <dcterms:created xsi:type="dcterms:W3CDTF">2026-04-09T23:54:00Z</dcterms:created>
  <dcterms:modified xsi:type="dcterms:W3CDTF">2026-04-10T20:32:00Z</dcterms:modified>
</cp:coreProperties>
</file>